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4417530" w14:textId="530660B4" w:rsidR="00233A1B" w:rsidRPr="00233A1B" w:rsidRDefault="00233A1B" w:rsidP="00233A1B">
      <w:pPr>
        <w:pStyle w:val="H01"/>
      </w:pPr>
      <w:r w:rsidRPr="00233A1B">
        <w:t xml:space="preserve">Topic </w:t>
      </w:r>
      <w:r w:rsidR="00741FBE">
        <w:t>4</w:t>
      </w:r>
      <w:r w:rsidRPr="00233A1B">
        <w:t xml:space="preserve"> </w:t>
      </w:r>
      <w:r w:rsidR="00741FBE">
        <w:t>Population and migration</w:t>
      </w:r>
    </w:p>
    <w:p w14:paraId="3B7ECF96" w14:textId="48030190" w:rsidR="008B3A49" w:rsidRDefault="008B3A49" w:rsidP="008B3A49">
      <w:pPr>
        <w:pStyle w:val="HA"/>
      </w:pPr>
      <w:r>
        <w:t xml:space="preserve">Topic </w:t>
      </w:r>
      <w:r w:rsidR="006A0A51">
        <w:t>glossary</w:t>
      </w:r>
      <w:r>
        <w:t xml:space="preserve">: </w:t>
      </w:r>
      <w:r w:rsidR="00741FBE">
        <w:t>4.1 Global population</w:t>
      </w:r>
    </w:p>
    <w:p w14:paraId="474741E2" w14:textId="06CA5680" w:rsidR="00741FBE" w:rsidRDefault="00741FBE" w:rsidP="00D71F1D">
      <w:pPr>
        <w:pStyle w:val="UL01"/>
        <w:numPr>
          <w:ilvl w:val="0"/>
          <w:numId w:val="0"/>
        </w:numPr>
      </w:pPr>
      <w:r w:rsidRPr="006532DC">
        <w:rPr>
          <w:b/>
          <w:bCs/>
          <w:color w:val="E46A56"/>
        </w:rPr>
        <w:t>Carrying capacity</w:t>
      </w:r>
      <w:r w:rsidR="00001654">
        <w:t xml:space="preserve"> is the largest population that the resources of a</w:t>
      </w:r>
      <w:r w:rsidR="00D71F1D">
        <w:t xml:space="preserve"> given environment can support.</w:t>
      </w:r>
    </w:p>
    <w:p w14:paraId="13B74F06" w14:textId="589512CE" w:rsidR="00741FBE" w:rsidRPr="00AB27E6" w:rsidRDefault="00741FBE" w:rsidP="00D71F1D">
      <w:pPr>
        <w:pStyle w:val="UL01"/>
        <w:numPr>
          <w:ilvl w:val="0"/>
          <w:numId w:val="0"/>
        </w:numPr>
      </w:pPr>
      <w:r w:rsidRPr="006532DC">
        <w:rPr>
          <w:b/>
          <w:bCs/>
          <w:color w:val="E46A56"/>
        </w:rPr>
        <w:t>Child mortality rate</w:t>
      </w:r>
      <w:r w:rsidR="00001654">
        <w:t xml:space="preserve"> is the number of children who die before their fifth birthday per thousand live births.</w:t>
      </w:r>
    </w:p>
    <w:p w14:paraId="7A5F5D70" w14:textId="0AE7F232" w:rsidR="00741FBE" w:rsidRDefault="00741FBE" w:rsidP="00D71F1D">
      <w:pPr>
        <w:pStyle w:val="UL01"/>
        <w:numPr>
          <w:ilvl w:val="0"/>
          <w:numId w:val="0"/>
        </w:numPr>
      </w:pPr>
      <w:r w:rsidRPr="00CC7E28">
        <w:rPr>
          <w:b/>
          <w:bCs/>
          <w:color w:val="E46A56"/>
        </w:rPr>
        <w:t>Crude birth rate</w:t>
      </w:r>
      <w:r w:rsidR="00001654" w:rsidRPr="00CC7E28">
        <w:rPr>
          <w:color w:val="E46A56"/>
        </w:rPr>
        <w:t xml:space="preserve"> </w:t>
      </w:r>
      <w:r w:rsidR="00001654">
        <w:t xml:space="preserve">(generally referred to as the </w:t>
      </w:r>
      <w:r w:rsidR="00001654" w:rsidRPr="00D71F1D">
        <w:rPr>
          <w:i/>
        </w:rPr>
        <w:t>birth rate</w:t>
      </w:r>
      <w:r w:rsidR="00001654">
        <w:t xml:space="preserve">) is the number of births per thousand population in a given year. It is only a very broad indicator as it does not </w:t>
      </w:r>
      <w:proofErr w:type="gramStart"/>
      <w:r w:rsidR="00001654">
        <w:t>take into account</w:t>
      </w:r>
      <w:proofErr w:type="gramEnd"/>
      <w:r w:rsidR="00001654">
        <w:t xml:space="preserve"> the age and sex distribution of the population.</w:t>
      </w:r>
    </w:p>
    <w:p w14:paraId="37907DBC" w14:textId="4554C14C" w:rsidR="00741FBE" w:rsidRDefault="00741FBE" w:rsidP="00D71F1D">
      <w:pPr>
        <w:pStyle w:val="UL01"/>
        <w:numPr>
          <w:ilvl w:val="0"/>
          <w:numId w:val="0"/>
        </w:numPr>
      </w:pPr>
      <w:r w:rsidRPr="00CC7E28">
        <w:rPr>
          <w:b/>
          <w:bCs/>
          <w:color w:val="E46A56"/>
        </w:rPr>
        <w:t>Crude death rate</w:t>
      </w:r>
      <w:r w:rsidR="00001654" w:rsidRPr="00CC7E28">
        <w:rPr>
          <w:color w:val="E46A56"/>
        </w:rPr>
        <w:t xml:space="preserve"> </w:t>
      </w:r>
      <w:r w:rsidR="00001654">
        <w:t xml:space="preserve">(generally referred to as the </w:t>
      </w:r>
      <w:r w:rsidR="00001654" w:rsidRPr="00D71F1D">
        <w:rPr>
          <w:i/>
        </w:rPr>
        <w:t>death rate</w:t>
      </w:r>
      <w:r w:rsidR="00001654">
        <w:t>) is the number of deaths per thousand population in a given year. It is only a very broad indicator as it is heavily influenced by the age structure of the population.</w:t>
      </w:r>
    </w:p>
    <w:p w14:paraId="3D346C70" w14:textId="7CE1306F" w:rsidR="00741FBE" w:rsidRDefault="00741FBE" w:rsidP="00D71F1D">
      <w:pPr>
        <w:pStyle w:val="UL01"/>
        <w:numPr>
          <w:ilvl w:val="0"/>
          <w:numId w:val="0"/>
        </w:numPr>
      </w:pPr>
      <w:r w:rsidRPr="00CC7E28">
        <w:rPr>
          <w:b/>
          <w:bCs/>
          <w:color w:val="E46A56"/>
        </w:rPr>
        <w:t>Cumulative causation</w:t>
      </w:r>
      <w:r w:rsidR="00001654">
        <w:t xml:space="preserve"> is the process whereby a significant increase in economic growth can lead to even more growth as more money circulates in the economy.</w:t>
      </w:r>
    </w:p>
    <w:p w14:paraId="1F30E80B" w14:textId="063C173A" w:rsidR="00741FBE" w:rsidRDefault="00741FBE" w:rsidP="00D71F1D">
      <w:pPr>
        <w:pStyle w:val="UL01"/>
        <w:numPr>
          <w:ilvl w:val="0"/>
          <w:numId w:val="0"/>
        </w:numPr>
      </w:pPr>
      <w:r w:rsidRPr="00CC7E28">
        <w:rPr>
          <w:b/>
          <w:bCs/>
          <w:color w:val="E46A56"/>
        </w:rPr>
        <w:t>Demographer</w:t>
      </w:r>
      <w:r w:rsidR="00001654" w:rsidRPr="00CC7E28">
        <w:rPr>
          <w:b/>
          <w:bCs/>
          <w:color w:val="E46A56"/>
        </w:rPr>
        <w:t>s</w:t>
      </w:r>
      <w:r w:rsidR="00001654">
        <w:t xml:space="preserve"> are professionals who study the characteristics of human populations.</w:t>
      </w:r>
    </w:p>
    <w:p w14:paraId="3242C24B" w14:textId="018874D3" w:rsidR="00741FBE" w:rsidRDefault="00741FBE" w:rsidP="00D71F1D">
      <w:pPr>
        <w:pStyle w:val="UL01"/>
        <w:numPr>
          <w:ilvl w:val="0"/>
          <w:numId w:val="0"/>
        </w:numPr>
      </w:pPr>
      <w:r w:rsidRPr="00CC7E28">
        <w:rPr>
          <w:b/>
          <w:bCs/>
          <w:color w:val="E46A56"/>
        </w:rPr>
        <w:t>Densely populated</w:t>
      </w:r>
      <w:r w:rsidR="00001654">
        <w:t xml:space="preserve"> refers to regions with a high population density.</w:t>
      </w:r>
    </w:p>
    <w:p w14:paraId="462477FC" w14:textId="6F49F38B" w:rsidR="00741FBE" w:rsidRDefault="00741FBE" w:rsidP="00D71F1D">
      <w:pPr>
        <w:pStyle w:val="UL01"/>
        <w:numPr>
          <w:ilvl w:val="0"/>
          <w:numId w:val="0"/>
        </w:numPr>
      </w:pPr>
      <w:r w:rsidRPr="00CC7E28">
        <w:rPr>
          <w:b/>
          <w:bCs/>
          <w:color w:val="E46A56"/>
        </w:rPr>
        <w:t>Fertility rate</w:t>
      </w:r>
      <w:r w:rsidR="00001654">
        <w:t xml:space="preserve"> is the number of live births per 1000 women aged 15–44 years in a given year.</w:t>
      </w:r>
    </w:p>
    <w:p w14:paraId="001BD5FE" w14:textId="566C4F47" w:rsidR="00741FBE" w:rsidRDefault="00741FBE" w:rsidP="00D71F1D">
      <w:pPr>
        <w:pStyle w:val="UL01"/>
        <w:numPr>
          <w:ilvl w:val="0"/>
          <w:numId w:val="0"/>
        </w:numPr>
      </w:pPr>
      <w:r w:rsidRPr="00CC7E28">
        <w:rPr>
          <w:b/>
          <w:bCs/>
          <w:color w:val="E46A56"/>
        </w:rPr>
        <w:t>Infant mortality rate</w:t>
      </w:r>
      <w:r w:rsidR="00001654">
        <w:t xml:space="preserve"> is the number of deaths of infants under one year of age per thousand live births in a given year</w:t>
      </w:r>
      <w:r w:rsidR="003C63E3">
        <w:t>.</w:t>
      </w:r>
    </w:p>
    <w:p w14:paraId="46ED23C6" w14:textId="532CDD67" w:rsidR="00741FBE" w:rsidRDefault="00741FBE" w:rsidP="00D71F1D">
      <w:pPr>
        <w:pStyle w:val="UL01"/>
        <w:numPr>
          <w:ilvl w:val="0"/>
          <w:numId w:val="0"/>
        </w:numPr>
      </w:pPr>
      <w:r w:rsidRPr="00CC7E28">
        <w:rPr>
          <w:b/>
          <w:bCs/>
          <w:color w:val="E46A56"/>
        </w:rPr>
        <w:t>Life expectancy at birth</w:t>
      </w:r>
      <w:r w:rsidR="00001654">
        <w:t xml:space="preserve"> is the average number of years a newborn infant can expect to live under current mortality levels.</w:t>
      </w:r>
    </w:p>
    <w:p w14:paraId="12824D1C" w14:textId="6B1B7B33" w:rsidR="00741FBE" w:rsidRDefault="00741FBE" w:rsidP="00D71F1D">
      <w:pPr>
        <w:pStyle w:val="UL01"/>
        <w:numPr>
          <w:ilvl w:val="0"/>
          <w:numId w:val="0"/>
        </w:numPr>
      </w:pPr>
      <w:r w:rsidRPr="00CC7E28">
        <w:rPr>
          <w:b/>
          <w:bCs/>
          <w:color w:val="E46A56"/>
        </w:rPr>
        <w:t>Natural change</w:t>
      </w:r>
      <w:r w:rsidR="00001654">
        <w:t xml:space="preserve"> is the difference between the number of births and the number of deaths in a country or region.</w:t>
      </w:r>
    </w:p>
    <w:p w14:paraId="2BD4D56F" w14:textId="37DF01E2" w:rsidR="00741FBE" w:rsidRDefault="00741FBE" w:rsidP="00D71F1D">
      <w:pPr>
        <w:pStyle w:val="UL01"/>
        <w:numPr>
          <w:ilvl w:val="0"/>
          <w:numId w:val="0"/>
        </w:numPr>
      </w:pPr>
      <w:r w:rsidRPr="00CC7E28">
        <w:rPr>
          <w:b/>
          <w:bCs/>
          <w:color w:val="E46A56"/>
        </w:rPr>
        <w:t>Natural decrease</w:t>
      </w:r>
      <w:r w:rsidR="00001654">
        <w:t xml:space="preserve"> is when the number of births is lower than the number of deaths.</w:t>
      </w:r>
    </w:p>
    <w:p w14:paraId="1F0CC7E3" w14:textId="368E479F" w:rsidR="00741FBE" w:rsidRDefault="00741FBE" w:rsidP="00D71F1D">
      <w:pPr>
        <w:pStyle w:val="UL01"/>
        <w:numPr>
          <w:ilvl w:val="0"/>
          <w:numId w:val="0"/>
        </w:numPr>
      </w:pPr>
      <w:r w:rsidRPr="00CC7E28">
        <w:rPr>
          <w:b/>
          <w:bCs/>
          <w:color w:val="E46A56"/>
        </w:rPr>
        <w:t>Natural increase</w:t>
      </w:r>
      <w:r w:rsidR="00001654">
        <w:t xml:space="preserve"> is </w:t>
      </w:r>
      <w:r w:rsidR="0048245A">
        <w:t>when the number of births is higher than the number of deaths.</w:t>
      </w:r>
    </w:p>
    <w:p w14:paraId="485D0AA8" w14:textId="156035C2" w:rsidR="00741FBE" w:rsidRDefault="00741FBE" w:rsidP="00D71F1D">
      <w:pPr>
        <w:pStyle w:val="UL01"/>
        <w:numPr>
          <w:ilvl w:val="0"/>
          <w:numId w:val="0"/>
        </w:numPr>
      </w:pPr>
      <w:r w:rsidRPr="00CC7E28">
        <w:rPr>
          <w:b/>
          <w:bCs/>
          <w:color w:val="E46A56"/>
        </w:rPr>
        <w:t>Net migration</w:t>
      </w:r>
      <w:r w:rsidR="0048245A">
        <w:t xml:space="preserve"> is the number of immigrants entering a region or country minus the number of emigrants who leave the same region or country. </w:t>
      </w:r>
      <w:r w:rsidR="003C63E3">
        <w:t>The balance may be either positive or negative.</w:t>
      </w:r>
    </w:p>
    <w:p w14:paraId="346EBBE7" w14:textId="1C4C3E83" w:rsidR="00741FBE" w:rsidRDefault="00741FBE" w:rsidP="00D71F1D">
      <w:pPr>
        <w:pStyle w:val="UL01"/>
        <w:numPr>
          <w:ilvl w:val="0"/>
          <w:numId w:val="0"/>
        </w:numPr>
      </w:pPr>
      <w:r w:rsidRPr="00CC7E28">
        <w:rPr>
          <w:b/>
          <w:bCs/>
          <w:color w:val="E46A56"/>
        </w:rPr>
        <w:t>Population density</w:t>
      </w:r>
      <w:r w:rsidR="0048245A">
        <w:t xml:space="preserve"> is the average number of people per square kilometre (km</w:t>
      </w:r>
      <w:r w:rsidR="0048245A" w:rsidRPr="003C63E3">
        <w:rPr>
          <w:vertAlign w:val="superscript"/>
        </w:rPr>
        <w:t>2</w:t>
      </w:r>
      <w:r w:rsidR="0048245A">
        <w:t>) in a country or region.</w:t>
      </w:r>
    </w:p>
    <w:p w14:paraId="06F00E81" w14:textId="0E0055CD" w:rsidR="00741FBE" w:rsidRDefault="00741FBE" w:rsidP="00D71F1D">
      <w:pPr>
        <w:pStyle w:val="UL01"/>
        <w:numPr>
          <w:ilvl w:val="0"/>
          <w:numId w:val="0"/>
        </w:numPr>
      </w:pPr>
      <w:r w:rsidRPr="00CC7E28">
        <w:rPr>
          <w:b/>
          <w:bCs/>
          <w:color w:val="E46A56"/>
        </w:rPr>
        <w:t>Population distribution</w:t>
      </w:r>
      <w:r w:rsidR="0048245A">
        <w:t xml:space="preserve"> is the way in which population is spread out over a given area, from a small region to the Earth as a whole.</w:t>
      </w:r>
    </w:p>
    <w:p w14:paraId="42693232" w14:textId="5577E31D" w:rsidR="00741FBE" w:rsidRDefault="00741FBE" w:rsidP="00D71F1D">
      <w:pPr>
        <w:pStyle w:val="UL01"/>
        <w:numPr>
          <w:ilvl w:val="0"/>
          <w:numId w:val="0"/>
        </w:numPr>
      </w:pPr>
      <w:r w:rsidRPr="00CC7E28">
        <w:rPr>
          <w:b/>
          <w:bCs/>
          <w:color w:val="E46A56"/>
        </w:rPr>
        <w:t>Population momentum</w:t>
      </w:r>
      <w:r w:rsidR="0048245A">
        <w:t xml:space="preserve"> is the tendency for population growth to continue beyond the time that replacement-level fertility has been achieved because of a relatively high concentration of people in the childbearing years. This situation is due to past high fertility rates, which result in a large number of young people.</w:t>
      </w:r>
    </w:p>
    <w:p w14:paraId="58B77F01" w14:textId="796B4EAA" w:rsidR="00741FBE" w:rsidRDefault="00741FBE" w:rsidP="00D71F1D">
      <w:pPr>
        <w:pStyle w:val="UL01"/>
        <w:numPr>
          <w:ilvl w:val="0"/>
          <w:numId w:val="0"/>
        </w:numPr>
      </w:pPr>
      <w:r w:rsidRPr="00CC7E28">
        <w:rPr>
          <w:b/>
          <w:bCs/>
          <w:color w:val="E46A56"/>
        </w:rPr>
        <w:t>Population projections</w:t>
      </w:r>
      <w:r w:rsidR="0048245A">
        <w:t xml:space="preserve"> predict the future population, based usually on current and past trends.</w:t>
      </w:r>
    </w:p>
    <w:p w14:paraId="12903736" w14:textId="5B4EF96F" w:rsidR="00741FBE" w:rsidRDefault="00741FBE" w:rsidP="00D71F1D">
      <w:pPr>
        <w:pStyle w:val="UL01"/>
        <w:numPr>
          <w:ilvl w:val="0"/>
          <w:numId w:val="0"/>
        </w:numPr>
      </w:pPr>
      <w:r w:rsidRPr="00CC7E28">
        <w:rPr>
          <w:b/>
          <w:bCs/>
          <w:color w:val="E46A56"/>
        </w:rPr>
        <w:t>Replacement level fertility</w:t>
      </w:r>
      <w:r w:rsidR="0048245A">
        <w:t xml:space="preserve"> is the level at which each generation has just enough children to replace themselves in the population. Although the level varies for different populations, a total fertility rate of 2.12 children is usually considered as replacement level.</w:t>
      </w:r>
    </w:p>
    <w:p w14:paraId="41A2D108" w14:textId="7117285F" w:rsidR="00741FBE" w:rsidRDefault="00741FBE" w:rsidP="00D71F1D">
      <w:pPr>
        <w:pStyle w:val="UL01"/>
        <w:numPr>
          <w:ilvl w:val="0"/>
          <w:numId w:val="0"/>
        </w:numPr>
      </w:pPr>
      <w:r w:rsidRPr="00CC7E28">
        <w:rPr>
          <w:b/>
          <w:bCs/>
          <w:color w:val="E46A56"/>
        </w:rPr>
        <w:t>Rural population</w:t>
      </w:r>
      <w:r w:rsidR="0048245A">
        <w:t xml:space="preserve"> describes those people living in the countryside in farms, isolated houses, hamlets and villages. Under some definitions, small market towns are classed as rural.</w:t>
      </w:r>
    </w:p>
    <w:p w14:paraId="1E3A0583" w14:textId="3A822F9C" w:rsidR="00741FBE" w:rsidRDefault="00741FBE" w:rsidP="00D71F1D">
      <w:pPr>
        <w:pStyle w:val="UL01"/>
        <w:numPr>
          <w:ilvl w:val="0"/>
          <w:numId w:val="0"/>
        </w:numPr>
      </w:pPr>
      <w:r w:rsidRPr="00CC7E28">
        <w:rPr>
          <w:b/>
          <w:bCs/>
          <w:color w:val="E46A56"/>
        </w:rPr>
        <w:t>Sparsely populated</w:t>
      </w:r>
      <w:r w:rsidR="0048245A">
        <w:t xml:space="preserve"> refers to regions with a low population density.</w:t>
      </w:r>
    </w:p>
    <w:p w14:paraId="55DBDF64" w14:textId="7C93EF46" w:rsidR="00402756" w:rsidRPr="00A34548" w:rsidRDefault="00741FBE" w:rsidP="00D71F1D">
      <w:pPr>
        <w:pStyle w:val="UL01"/>
        <w:numPr>
          <w:ilvl w:val="0"/>
          <w:numId w:val="0"/>
        </w:numPr>
        <w:rPr>
          <w:b/>
          <w:bCs/>
        </w:rPr>
      </w:pPr>
      <w:r w:rsidRPr="00CC7E28">
        <w:rPr>
          <w:b/>
          <w:bCs/>
          <w:color w:val="E46A56"/>
        </w:rPr>
        <w:t>Total fertility rate (TFR)</w:t>
      </w:r>
      <w:r w:rsidR="0048245A">
        <w:t xml:space="preserve"> is the average number of children that would be born alive to a woman (or group of women) during her lifetime, if she were to pass through her childbearing years conforming to the age-specific fertility rates of a given year.</w:t>
      </w:r>
    </w:p>
    <w:sectPr w:rsidR="00402756" w:rsidRPr="00A34548" w:rsidSect="00CA7860">
      <w:headerReference w:type="default" r:id="rId8"/>
      <w:footerReference w:type="default" r:id="rId9"/>
      <w:headerReference w:type="first" r:id="rId10"/>
      <w:footerReference w:type="first" r:id="rId11"/>
      <w:pgSz w:w="11900" w:h="16840"/>
      <w:pgMar w:top="2126" w:right="1134" w:bottom="1134" w:left="113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3B09153" w14:textId="77777777" w:rsidR="00D54FA2" w:rsidRDefault="00D54FA2" w:rsidP="00392E8A">
      <w:pPr>
        <w:spacing w:after="0" w:line="240" w:lineRule="auto"/>
      </w:pPr>
      <w:r>
        <w:separator/>
      </w:r>
    </w:p>
  </w:endnote>
  <w:endnote w:type="continuationSeparator" w:id="0">
    <w:p w14:paraId="51C51884" w14:textId="77777777" w:rsidR="00D54FA2" w:rsidRDefault="00D54FA2" w:rsidP="00392E8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Bold">
    <w:altName w:val="Arial"/>
    <w:panose1 w:val="020B0704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916B08" w14:textId="7AAABB0A" w:rsidR="00027EE9" w:rsidRPr="003701F2" w:rsidRDefault="00594121" w:rsidP="006312D6">
    <w:pPr>
      <w:pStyle w:val="Footer"/>
      <w:framePr w:wrap="around" w:vAnchor="text" w:hAnchor="margin" w:xAlign="right" w:y="1"/>
      <w:rPr>
        <w:rStyle w:val="PageNumber"/>
        <w:rFonts w:cstheme="minorHAnsi"/>
        <w:b w:val="0"/>
        <w:bCs/>
      </w:rPr>
    </w:pPr>
    <w:r w:rsidRPr="003701F2">
      <w:rPr>
        <w:rStyle w:val="PageNumber"/>
        <w:rFonts w:cstheme="minorHAnsi"/>
        <w:b w:val="0"/>
        <w:bCs/>
      </w:rPr>
      <w:fldChar w:fldCharType="begin"/>
    </w:r>
    <w:r w:rsidRPr="003701F2">
      <w:rPr>
        <w:rStyle w:val="PageNumber"/>
        <w:rFonts w:cstheme="minorHAnsi"/>
        <w:bCs/>
      </w:rPr>
      <w:instrText xml:space="preserve">PAGE  </w:instrText>
    </w:r>
    <w:r w:rsidRPr="003701F2">
      <w:rPr>
        <w:rStyle w:val="PageNumber"/>
        <w:rFonts w:cstheme="minorHAnsi"/>
        <w:b w:val="0"/>
        <w:bCs/>
      </w:rPr>
      <w:fldChar w:fldCharType="separate"/>
    </w:r>
    <w:r w:rsidR="003C63E3">
      <w:rPr>
        <w:rStyle w:val="PageNumber"/>
        <w:rFonts w:cstheme="minorHAnsi"/>
        <w:bCs/>
        <w:noProof/>
      </w:rPr>
      <w:t>3</w:t>
    </w:r>
    <w:r w:rsidRPr="003701F2">
      <w:rPr>
        <w:rStyle w:val="PageNumber"/>
        <w:rFonts w:cstheme="minorHAnsi"/>
        <w:b w:val="0"/>
        <w:bCs/>
      </w:rPr>
      <w:fldChar w:fldCharType="end"/>
    </w:r>
  </w:p>
  <w:p w14:paraId="38C40F7D" w14:textId="5CE48DAA" w:rsidR="00027EE9" w:rsidRPr="00025E2F" w:rsidRDefault="0055285E" w:rsidP="00025E2F">
    <w:pPr>
      <w:pStyle w:val="Footer"/>
    </w:pPr>
    <w:r>
      <w:rPr>
        <w:szCs w:val="18"/>
      </w:rPr>
      <w:t>Cambridge International AS &amp; A Level Geography</w:t>
    </w:r>
    <w:r w:rsidR="00D71F1D">
      <w:rPr>
        <w:szCs w:val="18"/>
      </w:rPr>
      <w:t xml:space="preserve"> Third edition</w:t>
    </w:r>
    <w:r w:rsidR="00025E2F" w:rsidRPr="00025E2F">
      <w:rPr>
        <w:szCs w:val="18"/>
      </w:rPr>
      <w:t xml:space="preserve"> © Hodder &amp; Stoughton Limited 202</w:t>
    </w:r>
    <w:r w:rsidR="0059545F">
      <w:rPr>
        <w:szCs w:val="18"/>
      </w:rPr>
      <w:t>5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3C7457" w14:textId="77777777" w:rsidR="004B3115" w:rsidRPr="003701F2" w:rsidRDefault="004B3115" w:rsidP="004B3115">
    <w:pPr>
      <w:pStyle w:val="Footer"/>
      <w:framePr w:wrap="around" w:vAnchor="text" w:hAnchor="margin" w:xAlign="right" w:y="1"/>
      <w:rPr>
        <w:rStyle w:val="PageNumber"/>
        <w:rFonts w:cstheme="minorHAnsi"/>
        <w:b w:val="0"/>
        <w:bCs/>
      </w:rPr>
    </w:pPr>
    <w:r w:rsidRPr="003701F2">
      <w:rPr>
        <w:rStyle w:val="PageNumber"/>
        <w:rFonts w:cstheme="minorHAnsi"/>
        <w:b w:val="0"/>
        <w:bCs/>
      </w:rPr>
      <w:fldChar w:fldCharType="begin"/>
    </w:r>
    <w:r w:rsidRPr="003701F2">
      <w:rPr>
        <w:rStyle w:val="PageNumber"/>
        <w:rFonts w:cstheme="minorHAnsi"/>
        <w:bCs/>
      </w:rPr>
      <w:instrText xml:space="preserve">PAGE  </w:instrText>
    </w:r>
    <w:r w:rsidRPr="003701F2">
      <w:rPr>
        <w:rStyle w:val="PageNumber"/>
        <w:rFonts w:cstheme="minorHAnsi"/>
        <w:b w:val="0"/>
        <w:bCs/>
      </w:rPr>
      <w:fldChar w:fldCharType="separate"/>
    </w:r>
    <w:r>
      <w:rPr>
        <w:rStyle w:val="PageNumber"/>
        <w:rFonts w:cstheme="minorHAnsi"/>
        <w:b w:val="0"/>
        <w:bCs/>
      </w:rPr>
      <w:t>2</w:t>
    </w:r>
    <w:r w:rsidRPr="003701F2">
      <w:rPr>
        <w:rStyle w:val="PageNumber"/>
        <w:rFonts w:cstheme="minorHAnsi"/>
        <w:b w:val="0"/>
        <w:bCs/>
      </w:rPr>
      <w:fldChar w:fldCharType="end"/>
    </w:r>
  </w:p>
  <w:p w14:paraId="6D3A2333" w14:textId="7932FF04" w:rsidR="00027EE9" w:rsidRPr="004B3115" w:rsidRDefault="004B3115" w:rsidP="004B3115">
    <w:pPr>
      <w:pStyle w:val="Footer"/>
    </w:pPr>
    <w:r w:rsidRPr="00094333">
      <w:rPr>
        <w:noProof/>
      </w:rPr>
      <w:t>Pearson Edexcel A Level US Government and Politics</w:t>
    </w:r>
    <w:r>
      <w:rPr>
        <w:noProof/>
      </w:rPr>
      <w:t xml:space="preserve"> © Hodder &amp; Stoughton Ltd 2021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F1AD855" w14:textId="77777777" w:rsidR="00D54FA2" w:rsidRDefault="00D54FA2" w:rsidP="00392E8A">
      <w:pPr>
        <w:spacing w:after="0" w:line="240" w:lineRule="auto"/>
      </w:pPr>
      <w:r>
        <w:separator/>
      </w:r>
    </w:p>
  </w:footnote>
  <w:footnote w:type="continuationSeparator" w:id="0">
    <w:p w14:paraId="3429C731" w14:textId="77777777" w:rsidR="00D54FA2" w:rsidRDefault="00D54FA2" w:rsidP="00392E8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011B45" w14:textId="6983DB68" w:rsidR="00392E8A" w:rsidRPr="00233A1B" w:rsidRDefault="00100D33" w:rsidP="00233A1B">
    <w:pPr>
      <w:pStyle w:val="H01"/>
      <w:ind w:left="1134"/>
      <w:rPr>
        <w:color w:val="FFFFFF" w:themeColor="background1"/>
        <w:sz w:val="28"/>
        <w:szCs w:val="28"/>
      </w:rPr>
    </w:pPr>
    <w:r w:rsidRPr="00233A1B">
      <w:rPr>
        <w:noProof/>
        <w:color w:val="FFFFFF" w:themeColor="background1"/>
        <w:sz w:val="28"/>
        <w:szCs w:val="28"/>
        <w:lang w:eastAsia="en-GB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1ADE10DF" wp14:editId="60DD8C32">
              <wp:simplePos x="0" y="0"/>
              <wp:positionH relativeFrom="column">
                <wp:posOffset>-419548</wp:posOffset>
              </wp:positionH>
              <wp:positionV relativeFrom="paragraph">
                <wp:posOffset>-148404</wp:posOffset>
              </wp:positionV>
              <wp:extent cx="900000" cy="900000"/>
              <wp:effectExtent l="38100" t="38100" r="128905" b="141605"/>
              <wp:wrapNone/>
              <wp:docPr id="1" name="Oval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900000" cy="900000"/>
                      </a:xfrm>
                      <a:prstGeom prst="ellipse">
                        <a:avLst/>
                      </a:prstGeom>
                      <a:solidFill>
                        <a:schemeClr val="accent1"/>
                      </a:solidFill>
                      <a:ln w="63500">
                        <a:solidFill>
                          <a:schemeClr val="bg1"/>
                        </a:solidFill>
                      </a:ln>
                      <a:effectLst>
                        <a:outerShdw blurRad="50800" dist="63500" dir="2700000" algn="tl" rotWithShape="0">
                          <a:prstClr val="black">
                            <a:alpha val="20000"/>
                          </a:prstClr>
                        </a:outerShdw>
                      </a:effectLst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oval w14:anchorId="7CDE7C76" id="Oval 1" o:spid="_x0000_s1026" style="position:absolute;margin-left:-33.05pt;margin-top:-11.7pt;width:70.85pt;height:70.8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" fillcolor="#4472c4 [3204]" strokecolor="white [3212]" strokeweight="5pt">
              <v:stroke joinstyle="miter"/>
              <v:shadow on="t" color="black" opacity="13107f" origin="-.5,-.5" offset="1.24725mm,1.24725mm"/>
            </v:oval>
          </w:pict>
        </mc:Fallback>
      </mc:AlternateContent>
    </w:r>
    <w:r w:rsidR="005E723E" w:rsidRPr="00233A1B">
      <w:rPr>
        <w:noProof/>
        <w:color w:val="FFFFFF" w:themeColor="background1"/>
        <w:sz w:val="28"/>
        <w:szCs w:val="28"/>
        <w:lang w:eastAsia="en-GB"/>
      </w:rPr>
      <mc:AlternateContent>
        <mc:Choice Requires="wps">
          <w:drawing>
            <wp:anchor distT="0" distB="0" distL="114300" distR="114300" simplePos="0" relativeHeight="251654144" behindDoc="1" locked="0" layoutInCell="1" allowOverlap="1" wp14:anchorId="2438ADF2" wp14:editId="18BFBD4F">
              <wp:simplePos x="0" y="0"/>
              <wp:positionH relativeFrom="page">
                <wp:align>left</wp:align>
              </wp:positionH>
              <wp:positionV relativeFrom="page">
                <wp:align>top</wp:align>
              </wp:positionV>
              <wp:extent cx="7560000" cy="900000"/>
              <wp:effectExtent l="0" t="0" r="0" b="1905"/>
              <wp:wrapNone/>
              <wp:docPr id="3" name="Rectangl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60000" cy="900000"/>
                      </a:xfrm>
                      <a:prstGeom prst="rect">
                        <a:avLst/>
                      </a:prstGeom>
                      <a:solidFill>
                        <a:srgbClr val="17265D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8D41599" id="Rectangle 3" o:spid="_x0000_s1026" style="position:absolute;margin-left:0;margin-top:0;width:595.3pt;height:70.85pt;z-index:-251662336;visibility:visible;mso-wrap-style:square;mso-width-percent:0;mso-height-percent:0;mso-wrap-distance-left:9pt;mso-wrap-distance-top:0;mso-wrap-distance-right:9pt;mso-wrap-distance-bottom:0;mso-position-horizontal:left;mso-position-horizontal-relative:page;mso-position-vertical:top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" fillcolor="#17265d" stroked="f" strokeweight="1pt">
              <w10:wrap anchorx="page" anchory="page"/>
            </v:rect>
          </w:pict>
        </mc:Fallback>
      </mc:AlternateContent>
    </w:r>
    <w:r w:rsidR="00233A1B" w:rsidRPr="00233A1B">
      <w:rPr>
        <w:noProof/>
        <w:color w:val="FFFFFF" w:themeColor="background1"/>
        <w:sz w:val="28"/>
        <w:szCs w:val="28"/>
      </w:rPr>
      <w:t>Cambridge International AS &amp; A Level Geography Third edition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ECACA0" w14:textId="77777777" w:rsidR="004B3115" w:rsidRPr="00094333" w:rsidRDefault="004B3115" w:rsidP="00233A1B">
    <w:pPr>
      <w:pStyle w:val="H01"/>
    </w:pPr>
    <w:r>
      <w:rPr>
        <w:noProof/>
        <w:lang w:eastAsia="en-GB"/>
      </w:rPr>
      <w:drawing>
        <wp:anchor distT="0" distB="0" distL="114300" distR="114300" simplePos="0" relativeHeight="251658240" behindDoc="0" locked="0" layoutInCell="1" allowOverlap="1" wp14:anchorId="02A73DFC" wp14:editId="6501A770">
          <wp:simplePos x="0" y="0"/>
          <wp:positionH relativeFrom="column">
            <wp:posOffset>-527539</wp:posOffset>
          </wp:positionH>
          <wp:positionV relativeFrom="paragraph">
            <wp:posOffset>-202223</wp:posOffset>
          </wp:positionV>
          <wp:extent cx="1080000" cy="1080000"/>
          <wp:effectExtent l="63500" t="63500" r="152400" b="152400"/>
          <wp:wrapNone/>
          <wp:docPr id="6" name="Picture 6" descr="A picture containing building, outdoor, sky, government building&#10;&#10;Description automatically generated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icture 4" descr="A picture containing building, outdoor, sky, government building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80000" cy="1080000"/>
                  </a:xfrm>
                  <a:prstGeom prst="ellipse">
                    <a:avLst/>
                  </a:prstGeom>
                  <a:ln w="63500" cap="rnd">
                    <a:solidFill>
                      <a:schemeClr val="bg1"/>
                    </a:solidFill>
                  </a:ln>
                  <a:effectLst>
                    <a:outerShdw blurRad="50800" dist="63500" dir="2700000" algn="tl" rotWithShape="0">
                      <a:prstClr val="black">
                        <a:alpha val="20000"/>
                      </a:prstClr>
                    </a:outerShdw>
                  </a:effectLst>
                  <a:scene3d>
                    <a:camera prst="orthographicFront"/>
                    <a:lightRig rig="contrasting" dir="t">
                      <a:rot lat="0" lon="0" rev="3000000"/>
                    </a:lightRig>
                  </a:scene3d>
                  <a:sp3d contourW="7620">
                    <a:bevelT w="95250" h="31750"/>
                    <a:contourClr>
                      <a:srgbClr val="333333"/>
                    </a:contourClr>
                  </a:sp3d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094333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57216" behindDoc="1" locked="0" layoutInCell="1" allowOverlap="1" wp14:anchorId="0B816B0E" wp14:editId="7EF4A9C3">
              <wp:simplePos x="0" y="0"/>
              <wp:positionH relativeFrom="page">
                <wp:align>left</wp:align>
              </wp:positionH>
              <wp:positionV relativeFrom="page">
                <wp:align>top</wp:align>
              </wp:positionV>
              <wp:extent cx="7560000" cy="900000"/>
              <wp:effectExtent l="0" t="0" r="0" b="1905"/>
              <wp:wrapNone/>
              <wp:docPr id="5" name="Rectangle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60000" cy="900000"/>
                      </a:xfrm>
                      <a:prstGeom prst="rect">
                        <a:avLst/>
                      </a:prstGeom>
                      <a:solidFill>
                        <a:srgbClr val="17265D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F8BE4C2" id="Rectangle 5" o:spid="_x0000_s1026" style="position:absolute;margin-left:0;margin-top:0;width:595.3pt;height:70.85pt;z-index:-251659264;visibility:visible;mso-wrap-style:square;mso-width-percent:0;mso-height-percent:0;mso-wrap-distance-left:9pt;mso-wrap-distance-top:0;mso-wrap-distance-right:9pt;mso-wrap-distance-bottom:0;mso-position-horizontal:left;mso-position-horizontal-relative:page;mso-position-vertical:top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" fillcolor="#17265d" stroked="f" strokeweight="1pt">
              <w10:wrap anchorx="page" anchory="page"/>
            </v:rect>
          </w:pict>
        </mc:Fallback>
      </mc:AlternateContent>
    </w:r>
    <w:r w:rsidRPr="00094333">
      <w:t>Pearson Edexcel A Level US Government and Politics</w:t>
    </w:r>
  </w:p>
  <w:p w14:paraId="2468F6B0" w14:textId="175EF514" w:rsidR="00027EE9" w:rsidRPr="004B3115" w:rsidRDefault="00027EE9" w:rsidP="004B3115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613234"/>
    <w:multiLevelType w:val="hybridMultilevel"/>
    <w:tmpl w:val="7BA6FAFA"/>
    <w:lvl w:ilvl="0" w:tplc="7E6427B0">
      <w:start w:val="1"/>
      <w:numFmt w:val="bullet"/>
      <w:pStyle w:val="USL01"/>
      <w:lvlText w:val="o"/>
      <w:lvlJc w:val="left"/>
      <w:pPr>
        <w:ind w:left="680" w:hanging="680"/>
      </w:pPr>
      <w:rPr>
        <w:rFonts w:ascii="Courier New" w:hAnsi="Courier New" w:hint="default"/>
        <w:color w:val="E46A5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38138E6"/>
    <w:multiLevelType w:val="hybridMultilevel"/>
    <w:tmpl w:val="2A288778"/>
    <w:lvl w:ilvl="0" w:tplc="031EE46A">
      <w:start w:val="1"/>
      <w:numFmt w:val="decimal"/>
      <w:pStyle w:val="03NumberList"/>
      <w:lvlText w:val="%1"/>
      <w:lvlJc w:val="left"/>
      <w:pPr>
        <w:ind w:left="360" w:hanging="360"/>
      </w:pPr>
      <w:rPr>
        <w:rFonts w:ascii="Arial Bold" w:hAnsi="Arial Bold" w:hint="default"/>
        <w:b/>
        <w:bCs/>
        <w:i w:val="0"/>
        <w:iCs w:val="0"/>
        <w:color w:val="009089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F36391F"/>
    <w:multiLevelType w:val="hybridMultilevel"/>
    <w:tmpl w:val="6DE0C95C"/>
    <w:lvl w:ilvl="0" w:tplc="5AE2F34C">
      <w:start w:val="1"/>
      <w:numFmt w:val="bullet"/>
      <w:pStyle w:val="UL01"/>
      <w:lvlText w:val=""/>
      <w:lvlJc w:val="left"/>
      <w:pPr>
        <w:ind w:left="340" w:hanging="340"/>
      </w:pPr>
      <w:rPr>
        <w:rFonts w:ascii="Symbol" w:hAnsi="Symbol" w:hint="default"/>
        <w:color w:val="E46A56"/>
        <w:sz w:val="28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11026337">
    <w:abstractNumId w:val="2"/>
  </w:num>
  <w:num w:numId="2" w16cid:durableId="1977181331">
    <w:abstractNumId w:val="0"/>
  </w:num>
  <w:num w:numId="3" w16cid:durableId="1658876769">
    <w:abstractNumId w:val="1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92E8A"/>
    <w:rsid w:val="00001654"/>
    <w:rsid w:val="00005831"/>
    <w:rsid w:val="00011330"/>
    <w:rsid w:val="00025E2F"/>
    <w:rsid w:val="00027EE9"/>
    <w:rsid w:val="000453AD"/>
    <w:rsid w:val="00076F6B"/>
    <w:rsid w:val="000878E9"/>
    <w:rsid w:val="00094333"/>
    <w:rsid w:val="000A5177"/>
    <w:rsid w:val="00100D33"/>
    <w:rsid w:val="00166974"/>
    <w:rsid w:val="00176BAE"/>
    <w:rsid w:val="00193B91"/>
    <w:rsid w:val="001967E8"/>
    <w:rsid w:val="001A5F50"/>
    <w:rsid w:val="001B1855"/>
    <w:rsid w:val="001B53B9"/>
    <w:rsid w:val="001B6087"/>
    <w:rsid w:val="001E2004"/>
    <w:rsid w:val="002168E8"/>
    <w:rsid w:val="00233A1B"/>
    <w:rsid w:val="0024139E"/>
    <w:rsid w:val="00245ACC"/>
    <w:rsid w:val="00261649"/>
    <w:rsid w:val="002A137C"/>
    <w:rsid w:val="002C0264"/>
    <w:rsid w:val="00315177"/>
    <w:rsid w:val="0032796E"/>
    <w:rsid w:val="0033453F"/>
    <w:rsid w:val="00337731"/>
    <w:rsid w:val="0034393E"/>
    <w:rsid w:val="00360795"/>
    <w:rsid w:val="003701F2"/>
    <w:rsid w:val="00376211"/>
    <w:rsid w:val="00392E8A"/>
    <w:rsid w:val="0039467B"/>
    <w:rsid w:val="003C63E3"/>
    <w:rsid w:val="003E3089"/>
    <w:rsid w:val="00402756"/>
    <w:rsid w:val="00405DB0"/>
    <w:rsid w:val="00416F56"/>
    <w:rsid w:val="00466F0A"/>
    <w:rsid w:val="0048245A"/>
    <w:rsid w:val="00483D4E"/>
    <w:rsid w:val="00491E9B"/>
    <w:rsid w:val="004B3115"/>
    <w:rsid w:val="00501A6F"/>
    <w:rsid w:val="0055285E"/>
    <w:rsid w:val="005765BA"/>
    <w:rsid w:val="00594121"/>
    <w:rsid w:val="0059545F"/>
    <w:rsid w:val="005C6600"/>
    <w:rsid w:val="005E723E"/>
    <w:rsid w:val="005F589F"/>
    <w:rsid w:val="006113F9"/>
    <w:rsid w:val="00632A0F"/>
    <w:rsid w:val="006532DC"/>
    <w:rsid w:val="00661F12"/>
    <w:rsid w:val="006704AC"/>
    <w:rsid w:val="006748FC"/>
    <w:rsid w:val="006A0A51"/>
    <w:rsid w:val="006B0022"/>
    <w:rsid w:val="006F1AB2"/>
    <w:rsid w:val="007117B3"/>
    <w:rsid w:val="00711D57"/>
    <w:rsid w:val="00714EC6"/>
    <w:rsid w:val="00730DEC"/>
    <w:rsid w:val="00737AD3"/>
    <w:rsid w:val="00741FBE"/>
    <w:rsid w:val="00752C38"/>
    <w:rsid w:val="00762EFD"/>
    <w:rsid w:val="00762FEC"/>
    <w:rsid w:val="007673DD"/>
    <w:rsid w:val="00786DC2"/>
    <w:rsid w:val="007950E1"/>
    <w:rsid w:val="007F6478"/>
    <w:rsid w:val="007F7B92"/>
    <w:rsid w:val="00833BA5"/>
    <w:rsid w:val="008B3A49"/>
    <w:rsid w:val="008D0599"/>
    <w:rsid w:val="0090442E"/>
    <w:rsid w:val="00930748"/>
    <w:rsid w:val="00934877"/>
    <w:rsid w:val="00952A60"/>
    <w:rsid w:val="009650CD"/>
    <w:rsid w:val="00965464"/>
    <w:rsid w:val="00973226"/>
    <w:rsid w:val="0097560B"/>
    <w:rsid w:val="0098356D"/>
    <w:rsid w:val="009C4F7A"/>
    <w:rsid w:val="00A15F2D"/>
    <w:rsid w:val="00A34548"/>
    <w:rsid w:val="00A81871"/>
    <w:rsid w:val="00A8706F"/>
    <w:rsid w:val="00AA5F16"/>
    <w:rsid w:val="00AC7692"/>
    <w:rsid w:val="00AF2BD8"/>
    <w:rsid w:val="00B02CC9"/>
    <w:rsid w:val="00B14367"/>
    <w:rsid w:val="00B17522"/>
    <w:rsid w:val="00B70B77"/>
    <w:rsid w:val="00B96B1A"/>
    <w:rsid w:val="00BA011F"/>
    <w:rsid w:val="00BB0BDE"/>
    <w:rsid w:val="00BB15A1"/>
    <w:rsid w:val="00BB1D6B"/>
    <w:rsid w:val="00C1053F"/>
    <w:rsid w:val="00C129DD"/>
    <w:rsid w:val="00C413E7"/>
    <w:rsid w:val="00C43914"/>
    <w:rsid w:val="00C45E11"/>
    <w:rsid w:val="00C92F07"/>
    <w:rsid w:val="00C96600"/>
    <w:rsid w:val="00CA7860"/>
    <w:rsid w:val="00CB122F"/>
    <w:rsid w:val="00CB394D"/>
    <w:rsid w:val="00CC5CD2"/>
    <w:rsid w:val="00CC7E28"/>
    <w:rsid w:val="00D1645F"/>
    <w:rsid w:val="00D17943"/>
    <w:rsid w:val="00D354CC"/>
    <w:rsid w:val="00D54FA2"/>
    <w:rsid w:val="00D650DD"/>
    <w:rsid w:val="00D71F1D"/>
    <w:rsid w:val="00D74081"/>
    <w:rsid w:val="00D869EA"/>
    <w:rsid w:val="00D876CC"/>
    <w:rsid w:val="00DA0B8E"/>
    <w:rsid w:val="00DB5160"/>
    <w:rsid w:val="00DF6A6A"/>
    <w:rsid w:val="00E4508B"/>
    <w:rsid w:val="00E468A5"/>
    <w:rsid w:val="00E63B23"/>
    <w:rsid w:val="00E669BB"/>
    <w:rsid w:val="00E7103A"/>
    <w:rsid w:val="00E76FC6"/>
    <w:rsid w:val="00E94865"/>
    <w:rsid w:val="00EC0E81"/>
    <w:rsid w:val="00EF26C1"/>
    <w:rsid w:val="00F07F4D"/>
    <w:rsid w:val="00F40C44"/>
    <w:rsid w:val="00F7546C"/>
    <w:rsid w:val="00FB053F"/>
    <w:rsid w:val="00FD2C15"/>
    <w:rsid w:val="00FE2451"/>
    <w:rsid w:val="00FE79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4:docId w14:val="53DA580A"/>
  <w15:docId w15:val="{BEF9DB32-3D4E-A343-AF98-9CF2D08AF3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92E8A"/>
    <w:pPr>
      <w:spacing w:after="120" w:line="264" w:lineRule="auto"/>
    </w:pPr>
    <w:rPr>
      <w:rFonts w:ascii="Arial" w:hAnsi="Arial" w:cs="Arial"/>
      <w:sz w:val="22"/>
      <w:szCs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416F56"/>
    <w:pPr>
      <w:keepNext/>
      <w:keepLines/>
      <w:spacing w:before="240" w:after="0" w:line="259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H02">
    <w:name w:val="H02"/>
    <w:qFormat/>
    <w:rsid w:val="00BA011F"/>
    <w:pPr>
      <w:spacing w:before="360" w:after="40"/>
    </w:pPr>
    <w:rPr>
      <w:rFonts w:ascii="Arial" w:eastAsia="Times New Roman" w:hAnsi="Arial" w:cs="Times New Roman"/>
      <w:b/>
      <w:bCs/>
      <w:color w:val="174A7F"/>
      <w:sz w:val="36"/>
      <w:szCs w:val="36"/>
    </w:rPr>
  </w:style>
  <w:style w:type="paragraph" w:customStyle="1" w:styleId="USL01">
    <w:name w:val="USL01"/>
    <w:basedOn w:val="UL01"/>
    <w:qFormat/>
    <w:rsid w:val="00973226"/>
    <w:pPr>
      <w:numPr>
        <w:numId w:val="2"/>
      </w:numPr>
      <w:ind w:hanging="340"/>
    </w:pPr>
  </w:style>
  <w:style w:type="paragraph" w:customStyle="1" w:styleId="HA">
    <w:name w:val="HA"/>
    <w:qFormat/>
    <w:rsid w:val="007950E1"/>
    <w:pPr>
      <w:pBdr>
        <w:bottom w:val="single" w:sz="12" w:space="3" w:color="174A7F"/>
      </w:pBdr>
      <w:spacing w:before="360" w:after="120"/>
    </w:pPr>
    <w:rPr>
      <w:rFonts w:ascii="Arial" w:eastAsia="Times New Roman" w:hAnsi="Arial" w:cs="Times New Roman"/>
      <w:b/>
      <w:bCs/>
      <w:color w:val="174A7F"/>
      <w:sz w:val="28"/>
      <w:szCs w:val="36"/>
    </w:rPr>
  </w:style>
  <w:style w:type="paragraph" w:customStyle="1" w:styleId="UL01">
    <w:name w:val="UL01"/>
    <w:basedOn w:val="BT01"/>
    <w:qFormat/>
    <w:rsid w:val="00466F0A"/>
    <w:pPr>
      <w:numPr>
        <w:numId w:val="1"/>
      </w:numPr>
      <w:spacing w:before="40"/>
    </w:pPr>
    <w:rPr>
      <w:szCs w:val="20"/>
    </w:rPr>
  </w:style>
  <w:style w:type="paragraph" w:customStyle="1" w:styleId="H01">
    <w:name w:val="H01"/>
    <w:qFormat/>
    <w:rsid w:val="00233A1B"/>
    <w:pPr>
      <w:jc w:val="both"/>
    </w:pPr>
    <w:rPr>
      <w:rFonts w:ascii="Arial" w:hAnsi="Arial" w:cs="Arial"/>
      <w:b/>
      <w:sz w:val="32"/>
      <w:szCs w:val="22"/>
    </w:rPr>
  </w:style>
  <w:style w:type="paragraph" w:customStyle="1" w:styleId="H03">
    <w:name w:val="H03"/>
    <w:qFormat/>
    <w:rsid w:val="00BA011F"/>
    <w:pPr>
      <w:spacing w:before="120" w:after="40"/>
    </w:pPr>
    <w:rPr>
      <w:rFonts w:ascii="Arial" w:eastAsia="Times New Roman" w:hAnsi="Arial" w:cs="Times New Roman"/>
      <w:color w:val="174A7F"/>
      <w:sz w:val="32"/>
      <w:szCs w:val="32"/>
    </w:rPr>
  </w:style>
  <w:style w:type="paragraph" w:styleId="Footer">
    <w:name w:val="footer"/>
    <w:link w:val="FooterChar"/>
    <w:uiPriority w:val="99"/>
    <w:unhideWhenUsed/>
    <w:rsid w:val="00094333"/>
    <w:rPr>
      <w:rFonts w:ascii="Arial" w:hAnsi="Arial" w:cs="Arial"/>
      <w:sz w:val="18"/>
      <w:szCs w:val="22"/>
    </w:rPr>
  </w:style>
  <w:style w:type="character" w:customStyle="1" w:styleId="FooterChar">
    <w:name w:val="Footer Char"/>
    <w:basedOn w:val="DefaultParagraphFont"/>
    <w:link w:val="Footer"/>
    <w:uiPriority w:val="99"/>
    <w:rsid w:val="00094333"/>
    <w:rPr>
      <w:rFonts w:ascii="Arial" w:hAnsi="Arial" w:cs="Arial"/>
      <w:sz w:val="18"/>
      <w:szCs w:val="22"/>
    </w:rPr>
  </w:style>
  <w:style w:type="character" w:styleId="PageNumber">
    <w:name w:val="page number"/>
    <w:basedOn w:val="DefaultParagraphFont"/>
    <w:uiPriority w:val="99"/>
    <w:unhideWhenUsed/>
    <w:rsid w:val="00094333"/>
    <w:rPr>
      <w:rFonts w:asciiTheme="minorHAnsi" w:hAnsiTheme="minorHAnsi"/>
      <w:b/>
      <w:sz w:val="22"/>
    </w:rPr>
  </w:style>
  <w:style w:type="paragraph" w:customStyle="1" w:styleId="HB">
    <w:name w:val="HB"/>
    <w:basedOn w:val="Normal"/>
    <w:qFormat/>
    <w:rsid w:val="007950E1"/>
    <w:pPr>
      <w:spacing w:before="120" w:after="40" w:line="240" w:lineRule="auto"/>
    </w:pPr>
    <w:rPr>
      <w:b/>
      <w:color w:val="000000" w:themeColor="text1"/>
      <w:sz w:val="24"/>
    </w:rPr>
  </w:style>
  <w:style w:type="paragraph" w:customStyle="1" w:styleId="BT01">
    <w:name w:val="BT01"/>
    <w:qFormat/>
    <w:rsid w:val="00BA011F"/>
    <w:pPr>
      <w:spacing w:before="120"/>
    </w:pPr>
    <w:rPr>
      <w:rFonts w:cs="Arial"/>
      <w:sz w:val="22"/>
      <w:szCs w:val="22"/>
    </w:rPr>
  </w:style>
  <w:style w:type="paragraph" w:customStyle="1" w:styleId="BT01First">
    <w:name w:val="BT01 First"/>
    <w:basedOn w:val="BT01"/>
    <w:qFormat/>
    <w:rsid w:val="00BA011F"/>
    <w:pPr>
      <w:spacing w:before="0"/>
    </w:pPr>
  </w:style>
  <w:style w:type="paragraph" w:customStyle="1" w:styleId="OL01">
    <w:name w:val="OL01"/>
    <w:basedOn w:val="BT01"/>
    <w:qFormat/>
    <w:rsid w:val="00973226"/>
    <w:pPr>
      <w:ind w:left="340" w:hanging="340"/>
    </w:pPr>
    <w:rPr>
      <w:rFonts w:cstheme="minorHAnsi"/>
    </w:rPr>
  </w:style>
  <w:style w:type="character" w:customStyle="1" w:styleId="OL01Numeral">
    <w:name w:val="OL01 Numeral"/>
    <w:basedOn w:val="DefaultParagraphFont"/>
    <w:uiPriority w:val="1"/>
    <w:qFormat/>
    <w:rsid w:val="007950E1"/>
    <w:rPr>
      <w:b/>
      <w:color w:val="E46A56"/>
    </w:rPr>
  </w:style>
  <w:style w:type="table" w:styleId="TableGrid">
    <w:name w:val="Table Grid"/>
    <w:basedOn w:val="TableNormal"/>
    <w:uiPriority w:val="39"/>
    <w:rsid w:val="005765B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TB01TBA">
    <w:name w:val="CTB01 TBA"/>
    <w:qFormat/>
    <w:rsid w:val="005765BA"/>
    <w:rPr>
      <w:rFonts w:cs="Arial"/>
      <w:b/>
      <w:color w:val="FFFFFF" w:themeColor="background1"/>
      <w:sz w:val="22"/>
      <w:szCs w:val="22"/>
    </w:rPr>
  </w:style>
  <w:style w:type="paragraph" w:customStyle="1" w:styleId="CTB01BT01">
    <w:name w:val="CTB01 BT01"/>
    <w:qFormat/>
    <w:rsid w:val="005765BA"/>
    <w:rPr>
      <w:rFonts w:cs="Arial"/>
      <w:color w:val="000000" w:themeColor="text1"/>
      <w:sz w:val="22"/>
      <w:szCs w:val="22"/>
    </w:rPr>
  </w:style>
  <w:style w:type="paragraph" w:customStyle="1" w:styleId="OSL01">
    <w:name w:val="OSL01"/>
    <w:basedOn w:val="OL01"/>
    <w:qFormat/>
    <w:rsid w:val="00632A0F"/>
    <w:pPr>
      <w:spacing w:before="40"/>
      <w:ind w:left="680"/>
    </w:pPr>
  </w:style>
  <w:style w:type="paragraph" w:customStyle="1" w:styleId="OL01Merged">
    <w:name w:val="OL01 Merged"/>
    <w:basedOn w:val="OL01"/>
    <w:qFormat/>
    <w:rsid w:val="00632A0F"/>
    <w:pPr>
      <w:tabs>
        <w:tab w:val="left" w:pos="340"/>
      </w:tabs>
      <w:ind w:left="680" w:hanging="680"/>
    </w:pPr>
  </w:style>
  <w:style w:type="character" w:customStyle="1" w:styleId="Heading1Char">
    <w:name w:val="Heading 1 Char"/>
    <w:basedOn w:val="DefaultParagraphFont"/>
    <w:link w:val="Heading1"/>
    <w:uiPriority w:val="9"/>
    <w:rsid w:val="00416F5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er">
    <w:name w:val="header"/>
    <w:basedOn w:val="Normal"/>
    <w:link w:val="HeaderChar"/>
    <w:uiPriority w:val="99"/>
    <w:unhideWhenUsed/>
    <w:rsid w:val="00C45E11"/>
    <w:pPr>
      <w:tabs>
        <w:tab w:val="center" w:pos="4513"/>
        <w:tab w:val="right" w:pos="9026"/>
      </w:tabs>
      <w:spacing w:after="0" w:line="240" w:lineRule="auto"/>
    </w:pPr>
    <w:rPr>
      <w:rFonts w:asciiTheme="minorHAnsi" w:hAnsiTheme="minorHAnsi" w:cstheme="minorBidi"/>
    </w:rPr>
  </w:style>
  <w:style w:type="character" w:customStyle="1" w:styleId="HeaderChar">
    <w:name w:val="Header Char"/>
    <w:basedOn w:val="DefaultParagraphFont"/>
    <w:link w:val="Header"/>
    <w:uiPriority w:val="99"/>
    <w:rsid w:val="00C45E11"/>
    <w:rPr>
      <w:sz w:val="22"/>
      <w:szCs w:val="22"/>
    </w:rPr>
  </w:style>
  <w:style w:type="paragraph" w:customStyle="1" w:styleId="Activitytext">
    <w:name w:val="Activity text"/>
    <w:qFormat/>
    <w:rsid w:val="00C45E11"/>
    <w:pPr>
      <w:spacing w:before="120" w:line="480" w:lineRule="auto"/>
    </w:pPr>
    <w:rPr>
      <w:rFonts w:cs="Arial"/>
      <w:bCs/>
      <w:sz w:val="22"/>
      <w:szCs w:val="22"/>
    </w:rPr>
  </w:style>
  <w:style w:type="paragraph" w:customStyle="1" w:styleId="AnswerLine">
    <w:name w:val="Answer Line"/>
    <w:qFormat/>
    <w:rsid w:val="00166974"/>
    <w:pPr>
      <w:pBdr>
        <w:bottom w:val="single" w:sz="8" w:space="1" w:color="000000" w:themeColor="text1"/>
        <w:between w:val="single" w:sz="8" w:space="1" w:color="000000" w:themeColor="text1"/>
      </w:pBdr>
      <w:spacing w:before="240"/>
    </w:pPr>
    <w:rPr>
      <w:rFonts w:cs="Arial"/>
      <w:sz w:val="22"/>
      <w:szCs w:val="22"/>
    </w:rPr>
  </w:style>
  <w:style w:type="paragraph" w:customStyle="1" w:styleId="02BHead">
    <w:name w:val="02 B Head"/>
    <w:qFormat/>
    <w:rsid w:val="005C6600"/>
    <w:pPr>
      <w:spacing w:before="240"/>
    </w:pPr>
    <w:rPr>
      <w:rFonts w:ascii="Arial" w:eastAsia="Times New Roman" w:hAnsi="Arial" w:cs="Times New Roman"/>
      <w:color w:val="CC6600"/>
      <w:sz w:val="36"/>
      <w:lang w:val="es-ES"/>
    </w:rPr>
  </w:style>
  <w:style w:type="paragraph" w:customStyle="1" w:styleId="03BodyText">
    <w:name w:val="03 Body Text"/>
    <w:qFormat/>
    <w:rsid w:val="005C6600"/>
    <w:pPr>
      <w:tabs>
        <w:tab w:val="left" w:pos="1701"/>
      </w:tabs>
      <w:spacing w:before="120" w:line="264" w:lineRule="auto"/>
    </w:pPr>
    <w:rPr>
      <w:rFonts w:ascii="Times New Roman" w:eastAsia="Calibri" w:hAnsi="Times New Roman" w:cs="Times New Roman"/>
      <w:lang w:val="es-ES_tradnl"/>
    </w:rPr>
  </w:style>
  <w:style w:type="paragraph" w:customStyle="1" w:styleId="03NumberList">
    <w:name w:val="03 Number List"/>
    <w:basedOn w:val="Normal"/>
    <w:qFormat/>
    <w:rsid w:val="005C6600"/>
    <w:pPr>
      <w:numPr>
        <w:numId w:val="3"/>
      </w:numPr>
      <w:spacing w:after="0"/>
    </w:pPr>
    <w:rPr>
      <w:rFonts w:ascii="Times New Roman" w:eastAsia="Calibri" w:hAnsi="Times New Roman" w:cs="Times New Roman"/>
      <w:szCs w:val="24"/>
      <w:lang w:val="en-US"/>
    </w:rPr>
  </w:style>
  <w:style w:type="paragraph" w:styleId="ListParagraph">
    <w:name w:val="List Paragraph"/>
    <w:basedOn w:val="Normal"/>
    <w:uiPriority w:val="1"/>
    <w:qFormat/>
    <w:rsid w:val="005C6600"/>
    <w:pPr>
      <w:spacing w:after="160" w:line="259" w:lineRule="auto"/>
      <w:ind w:left="720"/>
      <w:contextualSpacing/>
    </w:pPr>
    <w:rPr>
      <w:rFonts w:asciiTheme="minorHAnsi" w:hAnsiTheme="minorHAnsi" w:cstheme="minorBidi"/>
    </w:rPr>
  </w:style>
  <w:style w:type="paragraph" w:styleId="BodyText">
    <w:name w:val="Body Text"/>
    <w:basedOn w:val="Normal"/>
    <w:link w:val="BodyTextChar"/>
    <w:uiPriority w:val="1"/>
    <w:qFormat/>
    <w:rsid w:val="00A81871"/>
    <w:pPr>
      <w:widowControl w:val="0"/>
      <w:autoSpaceDE w:val="0"/>
      <w:autoSpaceDN w:val="0"/>
      <w:spacing w:after="0" w:line="240" w:lineRule="auto"/>
      <w:ind w:left="360"/>
    </w:pPr>
    <w:rPr>
      <w:rFonts w:ascii="Bookman Old Style" w:eastAsia="Bookman Old Style" w:hAnsi="Bookman Old Style" w:cs="Bookman Old Style"/>
      <w:sz w:val="19"/>
      <w:szCs w:val="19"/>
      <w:lang w:val="en-US"/>
    </w:rPr>
  </w:style>
  <w:style w:type="character" w:customStyle="1" w:styleId="BodyTextChar">
    <w:name w:val="Body Text Char"/>
    <w:basedOn w:val="DefaultParagraphFont"/>
    <w:link w:val="BodyText"/>
    <w:uiPriority w:val="1"/>
    <w:rsid w:val="00A81871"/>
    <w:rPr>
      <w:rFonts w:ascii="Bookman Old Style" w:eastAsia="Bookman Old Style" w:hAnsi="Bookman Old Style" w:cs="Bookman Old Style"/>
      <w:sz w:val="19"/>
      <w:szCs w:val="19"/>
      <w:lang w:val="en-US"/>
    </w:rPr>
  </w:style>
  <w:style w:type="character" w:styleId="Hyperlink">
    <w:name w:val="Hyperlink"/>
    <w:uiPriority w:val="99"/>
    <w:unhideWhenUsed/>
    <w:rsid w:val="00A81871"/>
    <w:rPr>
      <w:color w:val="0000FF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A81871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A81871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7789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customXml" Target="../customXml/item3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customXml" Target="../customXml/item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DB9DDC7028E794D805565492984EF96" ma:contentTypeVersion="14" ma:contentTypeDescription="Create a new document." ma:contentTypeScope="" ma:versionID="e21d3ff388b36768194b30167479e0e6">
  <xsd:schema xmlns:xsd="http://www.w3.org/2001/XMLSchema" xmlns:xs="http://www.w3.org/2001/XMLSchema" xmlns:p="http://schemas.microsoft.com/office/2006/metadata/properties" xmlns:ns2="45a6bd60-22b1-4450-9352-e2f42537a64c" xmlns:ns3="98e2d6a7-2173-45a5-8917-41cd12866546" targetNamespace="http://schemas.microsoft.com/office/2006/metadata/properties" ma:root="true" ma:fieldsID="0d91cc78eb1237e834c4a66265b1fffe" ns2:_="" ns3:_="">
    <xsd:import namespace="45a6bd60-22b1-4450-9352-e2f42537a64c"/>
    <xsd:import namespace="98e2d6a7-2173-45a5-8917-41cd1286654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a6bd60-22b1-4450-9352-e2f42537a64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e0316926-e272-4302-89b0-5e160602c2e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ServiceBillingMetadata" ma:index="21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8e2d6a7-2173-45a5-8917-41cd12866546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d3289979-5866-4ab8-bb56-7ac186a67c43}" ma:internalName="TaxCatchAll" ma:showField="CatchAllData" ma:web="98e2d6a7-2173-45a5-8917-41cd1286654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5a6bd60-22b1-4450-9352-e2f42537a64c">
      <Terms xmlns="http://schemas.microsoft.com/office/infopath/2007/PartnerControls"/>
    </lcf76f155ced4ddcb4097134ff3c332f>
    <TaxCatchAll xmlns="98e2d6a7-2173-45a5-8917-41cd12866546" xsi:nil="true"/>
  </documentManagement>
</p:properties>
</file>

<file path=customXml/itemProps1.xml><?xml version="1.0" encoding="utf-8"?>
<ds:datastoreItem xmlns:ds="http://schemas.openxmlformats.org/officeDocument/2006/customXml" ds:itemID="{645BB5CA-DEE4-4F2F-9E87-92D4B9A1BF2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2E34170E-1DD4-4D2E-A549-B3DC88ECB7E2}"/>
</file>

<file path=customXml/itemProps3.xml><?xml version="1.0" encoding="utf-8"?>
<ds:datastoreItem xmlns:ds="http://schemas.openxmlformats.org/officeDocument/2006/customXml" ds:itemID="{04D310FE-C1DE-4331-92E7-8C8409A0B505}"/>
</file>

<file path=customXml/itemProps4.xml><?xml version="1.0" encoding="utf-8"?>
<ds:datastoreItem xmlns:ds="http://schemas.openxmlformats.org/officeDocument/2006/customXml" ds:itemID="{FE609FCB-3B77-443A-87C6-CA0B10C2C107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488</Words>
  <Characters>2782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 Bates</dc:creator>
  <cp:keywords/>
  <dc:description/>
  <cp:lastModifiedBy>Rebecca Norman</cp:lastModifiedBy>
  <cp:revision>2</cp:revision>
  <dcterms:created xsi:type="dcterms:W3CDTF">2025-06-10T14:15:00Z</dcterms:created>
  <dcterms:modified xsi:type="dcterms:W3CDTF">2025-06-10T14:15:00Z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0x010100EDB9DDC7028E794D805565492984EF96</vt:lpwstr>
  </property>
</Properties>
</file>